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9535" w14:textId="77777777" w:rsidR="0029484A" w:rsidRDefault="0029484A" w:rsidP="0029484A">
      <w:pPr>
        <w:spacing w:after="0" w:line="240" w:lineRule="auto"/>
        <w:jc w:val="right"/>
        <w:rPr>
          <w:b/>
          <w:bCs/>
          <w:sz w:val="21"/>
          <w:szCs w:val="21"/>
        </w:rPr>
      </w:pPr>
      <w:r>
        <w:rPr>
          <w:b/>
          <w:bCs/>
          <w:noProof/>
          <w:sz w:val="21"/>
          <w:szCs w:val="21"/>
        </w:rPr>
        <w:drawing>
          <wp:inline distT="0" distB="0" distL="0" distR="0" wp14:anchorId="120F03BD" wp14:editId="070D05D8">
            <wp:extent cx="1361581" cy="544490"/>
            <wp:effectExtent l="0" t="0" r="0" b="825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EALOGO -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959" cy="558237"/>
                    </a:xfrm>
                    <a:prstGeom prst="rect">
                      <a:avLst/>
                    </a:prstGeom>
                  </pic:spPr>
                </pic:pic>
              </a:graphicData>
            </a:graphic>
          </wp:inline>
        </w:drawing>
      </w:r>
    </w:p>
    <w:p w14:paraId="0B1F2168" w14:textId="6BE99324" w:rsidR="0029484A" w:rsidRPr="004A56EC" w:rsidRDefault="00F2190A" w:rsidP="0029484A">
      <w:pPr>
        <w:spacing w:after="0" w:line="240" w:lineRule="auto"/>
        <w:rPr>
          <w:b/>
          <w:bCs/>
        </w:rPr>
      </w:pPr>
      <w:r>
        <w:rPr>
          <w:b/>
          <w:bCs/>
        </w:rPr>
        <w:t>F</w:t>
      </w:r>
      <w:r w:rsidR="0029484A" w:rsidRPr="004A56EC">
        <w:rPr>
          <w:b/>
          <w:bCs/>
        </w:rPr>
        <w:t xml:space="preserve">igures and facts relating to </w:t>
      </w:r>
      <w:r w:rsidR="004A56EC">
        <w:rPr>
          <w:b/>
          <w:bCs/>
        </w:rPr>
        <w:t>UCU</w:t>
      </w:r>
      <w:r>
        <w:rPr>
          <w:b/>
          <w:bCs/>
        </w:rPr>
        <w:t>’s pay dispute, November 2019</w:t>
      </w:r>
    </w:p>
    <w:p w14:paraId="7CF2C44B" w14:textId="7ABEC2D6" w:rsidR="0029484A" w:rsidRDefault="0029484A" w:rsidP="0029484A">
      <w:pPr>
        <w:spacing w:after="0" w:line="240" w:lineRule="auto"/>
        <w:rPr>
          <w:color w:val="000000"/>
          <w:u w:val="single"/>
        </w:rPr>
      </w:pPr>
    </w:p>
    <w:p w14:paraId="03458834" w14:textId="6E75D8BC" w:rsidR="00F2190A" w:rsidRDefault="00F2190A" w:rsidP="0029484A">
      <w:pPr>
        <w:spacing w:after="0" w:line="240" w:lineRule="auto"/>
        <w:rPr>
          <w:color w:val="000000"/>
          <w:u w:val="single"/>
        </w:rPr>
      </w:pPr>
      <w:r>
        <w:rPr>
          <w:color w:val="000000"/>
          <w:u w:val="single"/>
        </w:rPr>
        <w:t>The collective pay negotiations</w:t>
      </w:r>
    </w:p>
    <w:p w14:paraId="3A088E79" w14:textId="1169112D" w:rsidR="00F2190A" w:rsidRDefault="00F2190A" w:rsidP="00F2190A">
      <w:pPr>
        <w:pStyle w:val="ListParagraph"/>
        <w:numPr>
          <w:ilvl w:val="0"/>
          <w:numId w:val="6"/>
        </w:numPr>
        <w:rPr>
          <w:color w:val="000000"/>
        </w:rPr>
      </w:pPr>
      <w:r w:rsidRPr="00F2190A">
        <w:rPr>
          <w:b/>
          <w:bCs/>
          <w:color w:val="000000"/>
        </w:rPr>
        <w:t>85%</w:t>
      </w:r>
      <w:r>
        <w:rPr>
          <w:color w:val="000000"/>
        </w:rPr>
        <w:t xml:space="preserve"> - the approximate coverage of employees in UK HEIs covered by the national negotiations on the uplift to pay spine points; staff at Professor / equivalent and above are not covered.</w:t>
      </w:r>
    </w:p>
    <w:p w14:paraId="06C4A486" w14:textId="77777777" w:rsidR="00DC644C" w:rsidRDefault="00DC644C" w:rsidP="00DC644C">
      <w:pPr>
        <w:pStyle w:val="ListParagraph"/>
        <w:rPr>
          <w:color w:val="000000"/>
        </w:rPr>
      </w:pPr>
    </w:p>
    <w:p w14:paraId="24653ABE" w14:textId="63CA2C97" w:rsidR="00F2190A" w:rsidRDefault="00F2190A" w:rsidP="00F2190A">
      <w:pPr>
        <w:pStyle w:val="ListParagraph"/>
        <w:numPr>
          <w:ilvl w:val="0"/>
          <w:numId w:val="6"/>
        </w:numPr>
        <w:rPr>
          <w:color w:val="000000"/>
        </w:rPr>
      </w:pPr>
      <w:r w:rsidRPr="00F2190A">
        <w:rPr>
          <w:b/>
          <w:bCs/>
          <w:color w:val="000000"/>
        </w:rPr>
        <w:t>5</w:t>
      </w:r>
      <w:r>
        <w:rPr>
          <w:color w:val="000000"/>
        </w:rPr>
        <w:t xml:space="preserve"> – the number of trade unions involved in the collective negotiations; these are UNISON, Unite, GMB for professional services staff and EIS and UCU for academic staff (UCU also represents some senior professional staff on the ‘old’ universities).</w:t>
      </w:r>
    </w:p>
    <w:p w14:paraId="30B79EC7" w14:textId="77777777" w:rsidR="00DC644C" w:rsidRPr="00DC644C" w:rsidRDefault="00DC644C" w:rsidP="00DC644C">
      <w:pPr>
        <w:pStyle w:val="ListParagraph"/>
        <w:rPr>
          <w:color w:val="000000"/>
        </w:rPr>
      </w:pPr>
    </w:p>
    <w:p w14:paraId="748F1376" w14:textId="210623F7" w:rsidR="00F2190A" w:rsidRPr="00F2190A" w:rsidRDefault="00F2190A" w:rsidP="00F2190A">
      <w:pPr>
        <w:pStyle w:val="ListParagraph"/>
        <w:numPr>
          <w:ilvl w:val="0"/>
          <w:numId w:val="6"/>
        </w:numPr>
        <w:rPr>
          <w:color w:val="000000"/>
        </w:rPr>
      </w:pPr>
      <w:r>
        <w:rPr>
          <w:b/>
          <w:bCs/>
          <w:color w:val="000000"/>
        </w:rPr>
        <w:t xml:space="preserve">147 </w:t>
      </w:r>
      <w:r>
        <w:rPr>
          <w:color w:val="000000"/>
        </w:rPr>
        <w:t xml:space="preserve">– the number of UK HE institutions that have chosen to participate </w:t>
      </w:r>
      <w:r w:rsidR="000F25F9">
        <w:rPr>
          <w:color w:val="000000"/>
        </w:rPr>
        <w:t>in the collective negotiations for 2019</w:t>
      </w:r>
      <w:r w:rsidR="00310203">
        <w:rPr>
          <w:color w:val="000000"/>
        </w:rPr>
        <w:t xml:space="preserve"> and commit to the outcome.</w:t>
      </w:r>
      <w:r>
        <w:rPr>
          <w:color w:val="000000"/>
        </w:rPr>
        <w:t xml:space="preserve"> </w:t>
      </w:r>
    </w:p>
    <w:p w14:paraId="59914938" w14:textId="77777777" w:rsidR="00F2190A" w:rsidRPr="004A56EC" w:rsidRDefault="00F2190A" w:rsidP="0029484A">
      <w:pPr>
        <w:spacing w:after="0" w:line="240" w:lineRule="auto"/>
        <w:rPr>
          <w:color w:val="000000"/>
          <w:u w:val="single"/>
        </w:rPr>
      </w:pPr>
    </w:p>
    <w:p w14:paraId="614FDCCE" w14:textId="445145E2" w:rsidR="0029484A" w:rsidRPr="004A56EC" w:rsidRDefault="0029484A" w:rsidP="0029484A">
      <w:pPr>
        <w:spacing w:after="0" w:line="240" w:lineRule="auto"/>
        <w:rPr>
          <w:color w:val="000000"/>
          <w:u w:val="single"/>
        </w:rPr>
      </w:pPr>
      <w:r w:rsidRPr="004A56EC">
        <w:rPr>
          <w:color w:val="000000"/>
          <w:u w:val="single"/>
        </w:rPr>
        <w:t>Reach of the threatened industrial action</w:t>
      </w:r>
    </w:p>
    <w:p w14:paraId="2DF2940B" w14:textId="53BB7FD0" w:rsidR="00F2190A" w:rsidRDefault="0029484A" w:rsidP="00F2190A">
      <w:pPr>
        <w:pStyle w:val="ListParagraph"/>
        <w:numPr>
          <w:ilvl w:val="0"/>
          <w:numId w:val="1"/>
        </w:numPr>
        <w:rPr>
          <w:rFonts w:cs="Arial"/>
          <w:color w:val="000000"/>
          <w:szCs w:val="22"/>
        </w:rPr>
      </w:pPr>
      <w:r w:rsidRPr="004A56EC">
        <w:rPr>
          <w:rFonts w:cs="Arial"/>
          <w:b/>
          <w:bCs/>
          <w:color w:val="000000"/>
          <w:szCs w:val="22"/>
        </w:rPr>
        <w:t>7.5%</w:t>
      </w:r>
      <w:r w:rsidRPr="004A56EC">
        <w:rPr>
          <w:rFonts w:cs="Arial"/>
          <w:color w:val="000000"/>
          <w:szCs w:val="22"/>
        </w:rPr>
        <w:t xml:space="preserve"> - UCU members voting for strike action as a </w:t>
      </w:r>
      <w:r w:rsidR="0087195E" w:rsidRPr="004A56EC">
        <w:rPr>
          <w:rFonts w:cs="Arial"/>
          <w:color w:val="000000"/>
          <w:szCs w:val="22"/>
        </w:rPr>
        <w:t>percentage</w:t>
      </w:r>
      <w:r w:rsidRPr="004A56EC">
        <w:rPr>
          <w:rFonts w:cs="Arial"/>
          <w:color w:val="000000"/>
          <w:szCs w:val="22"/>
        </w:rPr>
        <w:t xml:space="preserve"> of the 325,000 HE staff covered by the collective pay round. Approximately 25,000 of UCU’s 70,500 members voted to support strike action across the 147 ballots. There are 17,500 UCU members in the 57 universities where UCU has called the industrial action</w:t>
      </w:r>
      <w:r w:rsidR="00F2190A">
        <w:rPr>
          <w:rFonts w:cs="Arial"/>
          <w:color w:val="000000"/>
          <w:szCs w:val="22"/>
        </w:rPr>
        <w:t>.</w:t>
      </w:r>
    </w:p>
    <w:p w14:paraId="5B23294D" w14:textId="77777777" w:rsidR="00F2190A" w:rsidRPr="00F2190A" w:rsidRDefault="00F2190A" w:rsidP="00F2190A">
      <w:pPr>
        <w:pStyle w:val="ListParagraph"/>
        <w:rPr>
          <w:rFonts w:cs="Arial"/>
          <w:color w:val="000000"/>
          <w:szCs w:val="22"/>
        </w:rPr>
      </w:pPr>
    </w:p>
    <w:p w14:paraId="147F93B4" w14:textId="2F4260A6" w:rsidR="00F2190A" w:rsidRPr="004A56EC" w:rsidRDefault="00F2190A" w:rsidP="0029484A">
      <w:pPr>
        <w:pStyle w:val="ListParagraph"/>
        <w:numPr>
          <w:ilvl w:val="0"/>
          <w:numId w:val="1"/>
        </w:numPr>
        <w:rPr>
          <w:rFonts w:cs="Arial"/>
          <w:color w:val="000000"/>
          <w:szCs w:val="22"/>
        </w:rPr>
      </w:pPr>
      <w:r>
        <w:rPr>
          <w:rFonts w:cs="Arial"/>
          <w:b/>
          <w:bCs/>
          <w:color w:val="000000"/>
          <w:szCs w:val="22"/>
        </w:rPr>
        <w:t xml:space="preserve">4 </w:t>
      </w:r>
      <w:r>
        <w:rPr>
          <w:rFonts w:cs="Arial"/>
          <w:color w:val="000000"/>
          <w:szCs w:val="22"/>
        </w:rPr>
        <w:t xml:space="preserve">– the number of trade unions which balloted members and have not achieved sufficient support from their members to take forward </w:t>
      </w:r>
      <w:r w:rsidR="000F25F9">
        <w:rPr>
          <w:rFonts w:cs="Arial"/>
          <w:color w:val="000000"/>
          <w:szCs w:val="22"/>
        </w:rPr>
        <w:t xml:space="preserve">action on </w:t>
      </w:r>
      <w:r>
        <w:rPr>
          <w:rFonts w:cs="Arial"/>
          <w:color w:val="000000"/>
          <w:szCs w:val="22"/>
        </w:rPr>
        <w:t>their disputes over the 2019 pay outcome.</w:t>
      </w:r>
    </w:p>
    <w:p w14:paraId="7A191FC4" w14:textId="77777777" w:rsidR="0029484A" w:rsidRPr="004A56EC" w:rsidRDefault="0029484A" w:rsidP="0029484A">
      <w:pPr>
        <w:pStyle w:val="ListParagraph"/>
        <w:rPr>
          <w:rFonts w:cs="Arial"/>
          <w:color w:val="000000"/>
          <w:szCs w:val="22"/>
        </w:rPr>
      </w:pPr>
    </w:p>
    <w:p w14:paraId="30E48BDA" w14:textId="77777777" w:rsidR="0029484A" w:rsidRPr="004A56EC" w:rsidRDefault="0029484A" w:rsidP="0029484A">
      <w:pPr>
        <w:pStyle w:val="ListParagraph"/>
        <w:numPr>
          <w:ilvl w:val="0"/>
          <w:numId w:val="1"/>
        </w:numPr>
        <w:rPr>
          <w:rFonts w:cs="Arial"/>
          <w:color w:val="000000"/>
          <w:szCs w:val="22"/>
        </w:rPr>
      </w:pPr>
      <w:r w:rsidRPr="004A56EC">
        <w:rPr>
          <w:rFonts w:cs="Arial"/>
          <w:b/>
          <w:bCs/>
          <w:color w:val="000000"/>
          <w:szCs w:val="22"/>
        </w:rPr>
        <w:t xml:space="preserve">159 </w:t>
      </w:r>
      <w:r w:rsidRPr="004A56EC">
        <w:rPr>
          <w:rFonts w:cs="Arial"/>
          <w:bCs/>
          <w:color w:val="000000"/>
          <w:szCs w:val="22"/>
        </w:rPr>
        <w:t>– the number of UK universities;</w:t>
      </w:r>
      <w:r w:rsidRPr="004A56EC">
        <w:rPr>
          <w:rFonts w:cs="Arial"/>
          <w:b/>
          <w:bCs/>
          <w:color w:val="000000"/>
          <w:szCs w:val="22"/>
        </w:rPr>
        <w:t xml:space="preserve"> 147 </w:t>
      </w:r>
      <w:r w:rsidRPr="004A56EC">
        <w:rPr>
          <w:rFonts w:cs="Arial"/>
          <w:bCs/>
          <w:color w:val="000000"/>
          <w:szCs w:val="22"/>
        </w:rPr>
        <w:t>– the number of UK universities taking part in the 2019 collective national pay bargaining and where UCU undertook industrial action ballots;</w:t>
      </w:r>
      <w:r w:rsidRPr="004A56EC">
        <w:rPr>
          <w:rFonts w:cs="Arial"/>
          <w:b/>
          <w:bCs/>
          <w:color w:val="000000"/>
          <w:szCs w:val="22"/>
        </w:rPr>
        <w:t xml:space="preserve"> 90 </w:t>
      </w:r>
      <w:r w:rsidRPr="004A56EC">
        <w:rPr>
          <w:rFonts w:cs="Arial"/>
          <w:color w:val="000000"/>
          <w:szCs w:val="22"/>
        </w:rPr>
        <w:t xml:space="preserve">– the number of these UK universities where no strike action will be taken; </w:t>
      </w:r>
      <w:r w:rsidRPr="004A56EC">
        <w:rPr>
          <w:rFonts w:cs="Arial"/>
          <w:b/>
          <w:color w:val="000000"/>
          <w:szCs w:val="22"/>
        </w:rPr>
        <w:t xml:space="preserve">57 </w:t>
      </w:r>
      <w:r w:rsidRPr="004A56EC">
        <w:rPr>
          <w:rFonts w:cs="Arial"/>
          <w:color w:val="000000"/>
          <w:szCs w:val="22"/>
        </w:rPr>
        <w:t>– the number of these UK universities where UCU has called strike action having ballot results to enable this.</w:t>
      </w:r>
    </w:p>
    <w:p w14:paraId="4AD60888" w14:textId="77777777" w:rsidR="0029484A" w:rsidRPr="004A56EC" w:rsidRDefault="0029484A" w:rsidP="0029484A">
      <w:pPr>
        <w:spacing w:after="0" w:line="240" w:lineRule="auto"/>
        <w:rPr>
          <w:rFonts w:eastAsia="Times New Roman"/>
          <w:color w:val="000000"/>
        </w:rPr>
      </w:pPr>
    </w:p>
    <w:p w14:paraId="1012172F" w14:textId="77777777" w:rsidR="0029484A" w:rsidRPr="004A56EC" w:rsidRDefault="0029484A" w:rsidP="0029484A">
      <w:pPr>
        <w:spacing w:after="0" w:line="240" w:lineRule="auto"/>
        <w:rPr>
          <w:color w:val="000000"/>
        </w:rPr>
      </w:pPr>
      <w:r w:rsidRPr="004A56EC">
        <w:rPr>
          <w:color w:val="000000"/>
          <w:u w:val="single"/>
        </w:rPr>
        <w:t>Pay and Percentages</w:t>
      </w:r>
    </w:p>
    <w:p w14:paraId="04D023F2" w14:textId="22BAD6FB" w:rsidR="0029484A" w:rsidRPr="004A56EC" w:rsidRDefault="0029484A" w:rsidP="0029484A">
      <w:pPr>
        <w:pStyle w:val="ListParagraph"/>
        <w:numPr>
          <w:ilvl w:val="0"/>
          <w:numId w:val="5"/>
        </w:numPr>
        <w:rPr>
          <w:rFonts w:eastAsiaTheme="minorHAnsi"/>
          <w:color w:val="000000"/>
          <w:szCs w:val="22"/>
        </w:rPr>
      </w:pPr>
      <w:r w:rsidRPr="004A56EC">
        <w:rPr>
          <w:b/>
          <w:bCs/>
          <w:color w:val="000000"/>
          <w:szCs w:val="22"/>
        </w:rPr>
        <w:t>£55,000 </w:t>
      </w:r>
      <w:r w:rsidRPr="004A56EC">
        <w:rPr>
          <w:color w:val="000000"/>
          <w:szCs w:val="22"/>
        </w:rPr>
        <w:t>– The average full-time annual earnings of HE teaching professionals (ONS, 2019). The median is £52,000. Secondary and further education teaching professionals earn, on average less than £40,000 per annum while the average for all professionals in the UK is £45,000 (£44,676).</w:t>
      </w:r>
    </w:p>
    <w:p w14:paraId="74D62D4D" w14:textId="77777777" w:rsidR="0029484A" w:rsidRPr="004A56EC" w:rsidRDefault="0029484A" w:rsidP="0029484A">
      <w:pPr>
        <w:pStyle w:val="ListParagraph"/>
        <w:rPr>
          <w:rFonts w:eastAsiaTheme="minorHAnsi"/>
          <w:color w:val="000000"/>
          <w:szCs w:val="22"/>
        </w:rPr>
      </w:pPr>
    </w:p>
    <w:p w14:paraId="60F4F15D" w14:textId="54E66FE4" w:rsidR="0029484A" w:rsidRDefault="0029484A" w:rsidP="0029484A">
      <w:pPr>
        <w:pStyle w:val="ListParagraph"/>
        <w:numPr>
          <w:ilvl w:val="0"/>
          <w:numId w:val="5"/>
        </w:numPr>
        <w:rPr>
          <w:color w:val="000000"/>
          <w:szCs w:val="22"/>
        </w:rPr>
      </w:pPr>
      <w:r w:rsidRPr="004A56EC">
        <w:rPr>
          <w:b/>
          <w:bCs/>
          <w:color w:val="000000"/>
          <w:szCs w:val="22"/>
        </w:rPr>
        <w:t>4.8% </w:t>
      </w:r>
      <w:r w:rsidRPr="004A56EC">
        <w:rPr>
          <w:color w:val="000000"/>
          <w:szCs w:val="22"/>
        </w:rPr>
        <w:t>- The pay increase that two-thirds of academic staff covered by the national pay negotiations will have received in 2019-20 as a result of the 1.8% pay point increase plus 3% service-based pay progression.</w:t>
      </w:r>
    </w:p>
    <w:p w14:paraId="0F06948E" w14:textId="77777777" w:rsidR="00F2190A" w:rsidRPr="00F2190A" w:rsidRDefault="00F2190A" w:rsidP="00F2190A">
      <w:pPr>
        <w:pStyle w:val="ListParagraph"/>
        <w:rPr>
          <w:color w:val="000000"/>
          <w:szCs w:val="22"/>
        </w:rPr>
      </w:pPr>
    </w:p>
    <w:p w14:paraId="275F532C" w14:textId="069597BB" w:rsidR="00F2190A" w:rsidRPr="004A56EC" w:rsidRDefault="00F2190A" w:rsidP="0029484A">
      <w:pPr>
        <w:pStyle w:val="ListParagraph"/>
        <w:numPr>
          <w:ilvl w:val="0"/>
          <w:numId w:val="5"/>
        </w:numPr>
        <w:rPr>
          <w:color w:val="000000"/>
          <w:szCs w:val="22"/>
        </w:rPr>
      </w:pPr>
      <w:r w:rsidRPr="00F2190A">
        <w:rPr>
          <w:b/>
          <w:bCs/>
          <w:color w:val="000000"/>
          <w:szCs w:val="22"/>
        </w:rPr>
        <w:t>1.7%</w:t>
      </w:r>
      <w:r>
        <w:rPr>
          <w:color w:val="000000"/>
          <w:szCs w:val="22"/>
        </w:rPr>
        <w:t xml:space="preserve"> - the official measure of inflation (CPIH) at August 2019, the date of effect of the 2019 pay uplifts negotiated through the collective arrangements. CPIH is now at 1.5% (the October 2019 figure).</w:t>
      </w:r>
    </w:p>
    <w:p w14:paraId="064F01ED" w14:textId="77777777" w:rsidR="0029484A" w:rsidRPr="004A56EC" w:rsidRDefault="0029484A" w:rsidP="0029484A">
      <w:pPr>
        <w:pStyle w:val="ListParagraph"/>
        <w:rPr>
          <w:color w:val="000000"/>
          <w:szCs w:val="22"/>
        </w:rPr>
      </w:pPr>
    </w:p>
    <w:p w14:paraId="15E9D089" w14:textId="1C8FDB04" w:rsidR="0029484A" w:rsidRPr="00310203" w:rsidRDefault="0029484A" w:rsidP="00310203">
      <w:pPr>
        <w:pStyle w:val="ListParagraph"/>
        <w:numPr>
          <w:ilvl w:val="0"/>
          <w:numId w:val="5"/>
        </w:numPr>
        <w:rPr>
          <w:color w:val="000000"/>
          <w:szCs w:val="22"/>
        </w:rPr>
      </w:pPr>
      <w:r w:rsidRPr="004A56EC">
        <w:rPr>
          <w:b/>
          <w:bCs/>
          <w:color w:val="000000"/>
          <w:szCs w:val="22"/>
        </w:rPr>
        <w:t>10% </w:t>
      </w:r>
      <w:r w:rsidRPr="004A56EC">
        <w:rPr>
          <w:color w:val="000000"/>
          <w:szCs w:val="22"/>
        </w:rPr>
        <w:t>- The increase in the value of the pay spine points covering academic pay grades since 2013-14, keeping pace with the official inflation rate (CPIH) during this</w:t>
      </w:r>
      <w:r w:rsidR="008F3C48">
        <w:rPr>
          <w:color w:val="000000"/>
          <w:szCs w:val="22"/>
        </w:rPr>
        <w:t xml:space="preserve"> period. </w:t>
      </w:r>
      <w:r w:rsidR="00150A60">
        <w:rPr>
          <w:color w:val="000000"/>
          <w:szCs w:val="22"/>
        </w:rPr>
        <w:t xml:space="preserve">           </w:t>
      </w:r>
      <w:bookmarkStart w:id="0" w:name="_GoBack"/>
      <w:bookmarkEnd w:id="0"/>
      <w:r w:rsidRPr="00310203">
        <w:rPr>
          <w:b/>
          <w:bCs/>
          <w:color w:val="000000"/>
        </w:rPr>
        <w:t>6 years </w:t>
      </w:r>
      <w:r w:rsidRPr="00310203">
        <w:rPr>
          <w:color w:val="000000"/>
        </w:rPr>
        <w:t>- the period over which the pay spine points have kept their real terms value. 8% is the actual figure for the real terms loss if one goes back to 2009, as UCU does.</w:t>
      </w:r>
    </w:p>
    <w:p w14:paraId="29DAC57B" w14:textId="77777777" w:rsidR="0029484A" w:rsidRPr="004A56EC" w:rsidRDefault="0029484A" w:rsidP="0029484A">
      <w:pPr>
        <w:pStyle w:val="ListParagraph"/>
        <w:rPr>
          <w:color w:val="000000"/>
          <w:szCs w:val="22"/>
        </w:rPr>
      </w:pPr>
    </w:p>
    <w:p w14:paraId="45F1C1F4" w14:textId="77777777" w:rsidR="0029484A" w:rsidRPr="004A56EC" w:rsidRDefault="0029484A" w:rsidP="0029484A">
      <w:pPr>
        <w:pStyle w:val="ListParagraph"/>
        <w:numPr>
          <w:ilvl w:val="0"/>
          <w:numId w:val="5"/>
        </w:numPr>
        <w:rPr>
          <w:color w:val="000000"/>
          <w:szCs w:val="22"/>
        </w:rPr>
      </w:pPr>
      <w:r w:rsidRPr="004A56EC">
        <w:rPr>
          <w:b/>
          <w:bCs/>
          <w:color w:val="000000"/>
          <w:szCs w:val="22"/>
        </w:rPr>
        <w:t>0.7% </w:t>
      </w:r>
      <w:r w:rsidRPr="004A56EC">
        <w:rPr>
          <w:color w:val="000000"/>
          <w:szCs w:val="22"/>
        </w:rPr>
        <w:t>–</w:t>
      </w:r>
      <w:r w:rsidRPr="004A56EC">
        <w:rPr>
          <w:b/>
          <w:bCs/>
          <w:color w:val="000000"/>
          <w:szCs w:val="22"/>
        </w:rPr>
        <w:t> </w:t>
      </w:r>
      <w:r w:rsidRPr="004A56EC">
        <w:rPr>
          <w:color w:val="000000"/>
          <w:szCs w:val="22"/>
        </w:rPr>
        <w:t>The extent to which RPI, used by the UCU, overestimates inflation as an annual inflation measure according to the ONS.</w:t>
      </w:r>
      <w:bookmarkStart w:id="1" w:name="_ftnref1"/>
      <w:r w:rsidRPr="004A56EC">
        <w:rPr>
          <w:color w:val="000000"/>
          <w:szCs w:val="22"/>
        </w:rPr>
        <w:fldChar w:fldCharType="begin"/>
      </w:r>
      <w:r w:rsidRPr="004A56EC">
        <w:rPr>
          <w:color w:val="000000"/>
          <w:szCs w:val="22"/>
        </w:rPr>
        <w:instrText xml:space="preserve"> HYPERLINK "applewebdata://23E74C56-2859-442C-81A4-5B53443BE77D" \l "_ftn1" \o "" </w:instrText>
      </w:r>
      <w:r w:rsidRPr="004A56EC">
        <w:rPr>
          <w:color w:val="000000"/>
          <w:szCs w:val="22"/>
        </w:rPr>
        <w:fldChar w:fldCharType="separate"/>
      </w:r>
      <w:r w:rsidRPr="004A56EC">
        <w:rPr>
          <w:color w:val="954F72"/>
          <w:szCs w:val="22"/>
          <w:vertAlign w:val="superscript"/>
        </w:rPr>
        <w:t>[</w:t>
      </w:r>
      <w:r w:rsidRPr="004A56EC">
        <w:rPr>
          <w:color w:val="000000"/>
          <w:szCs w:val="22"/>
        </w:rPr>
        <w:fldChar w:fldCharType="end"/>
      </w:r>
      <w:bookmarkEnd w:id="1"/>
      <w:r w:rsidRPr="004A56EC">
        <w:rPr>
          <w:color w:val="000000"/>
          <w:szCs w:val="22"/>
          <w:vertAlign w:val="superscript"/>
        </w:rPr>
        <w:t>1]</w:t>
      </w:r>
      <w:r w:rsidRPr="004A56EC">
        <w:rPr>
          <w:color w:val="000000"/>
          <w:szCs w:val="22"/>
        </w:rPr>
        <w:t> The RPI was stripped of its status as a National Statistic in 2013 and is due to be phased out of use by 2030.</w:t>
      </w:r>
      <w:bookmarkStart w:id="2" w:name="_ftnref2"/>
      <w:r w:rsidRPr="004A56EC">
        <w:rPr>
          <w:color w:val="000000"/>
          <w:szCs w:val="22"/>
        </w:rPr>
        <w:fldChar w:fldCharType="begin"/>
      </w:r>
      <w:r w:rsidRPr="004A56EC">
        <w:rPr>
          <w:color w:val="000000"/>
          <w:szCs w:val="22"/>
        </w:rPr>
        <w:instrText xml:space="preserve"> HYPERLINK "applewebdata://23E74C56-2859-442C-81A4-5B53443BE77D" \l "_ftn2" \o "" </w:instrText>
      </w:r>
      <w:r w:rsidRPr="004A56EC">
        <w:rPr>
          <w:color w:val="000000"/>
          <w:szCs w:val="22"/>
        </w:rPr>
        <w:fldChar w:fldCharType="separate"/>
      </w:r>
      <w:r w:rsidRPr="004A56EC">
        <w:rPr>
          <w:color w:val="954F72"/>
          <w:szCs w:val="22"/>
          <w:vertAlign w:val="superscript"/>
        </w:rPr>
        <w:t>[2]</w:t>
      </w:r>
      <w:r w:rsidRPr="004A56EC">
        <w:rPr>
          <w:color w:val="000000"/>
          <w:szCs w:val="22"/>
        </w:rPr>
        <w:fldChar w:fldCharType="end"/>
      </w:r>
      <w:bookmarkEnd w:id="2"/>
      <w:r w:rsidRPr="004A56EC">
        <w:rPr>
          <w:color w:val="000000"/>
          <w:szCs w:val="22"/>
        </w:rPr>
        <w:t> The National Statistician ‘strongly discourages’ the use of RPI as a measure of inflation</w:t>
      </w:r>
      <w:bookmarkStart w:id="3" w:name="_ftnref3"/>
      <w:r w:rsidRPr="004A56EC">
        <w:rPr>
          <w:color w:val="000000"/>
          <w:szCs w:val="22"/>
        </w:rPr>
        <w:fldChar w:fldCharType="begin"/>
      </w:r>
      <w:r w:rsidRPr="004A56EC">
        <w:rPr>
          <w:color w:val="000000"/>
          <w:szCs w:val="22"/>
        </w:rPr>
        <w:instrText xml:space="preserve"> HYPERLINK "applewebdata://23E74C56-2859-442C-81A4-5B53443BE77D" \l "_ftn3" \o "" </w:instrText>
      </w:r>
      <w:r w:rsidRPr="004A56EC">
        <w:rPr>
          <w:color w:val="000000"/>
          <w:szCs w:val="22"/>
        </w:rPr>
        <w:fldChar w:fldCharType="separate"/>
      </w:r>
      <w:r w:rsidRPr="004A56EC">
        <w:rPr>
          <w:color w:val="954F72"/>
          <w:szCs w:val="22"/>
          <w:vertAlign w:val="superscript"/>
        </w:rPr>
        <w:t>[3]</w:t>
      </w:r>
      <w:r w:rsidRPr="004A56EC">
        <w:rPr>
          <w:color w:val="000000"/>
          <w:szCs w:val="22"/>
        </w:rPr>
        <w:fldChar w:fldCharType="end"/>
      </w:r>
      <w:bookmarkEnd w:id="3"/>
      <w:r w:rsidRPr="004A56EC">
        <w:rPr>
          <w:color w:val="000000"/>
          <w:szCs w:val="22"/>
        </w:rPr>
        <w:t xml:space="preserve"> while the ONS calls it ‘a </w:t>
      </w:r>
      <w:r w:rsidRPr="004A56EC">
        <w:rPr>
          <w:color w:val="000000"/>
          <w:szCs w:val="22"/>
        </w:rPr>
        <w:lastRenderedPageBreak/>
        <w:t>very poor general measure of inflation’. An IFS independent review concluded that RPI is ‘statistically flawed’ and ‘upwardly biased’. </w:t>
      </w:r>
    </w:p>
    <w:p w14:paraId="66AA9198" w14:textId="77777777" w:rsidR="0029484A" w:rsidRPr="004A56EC" w:rsidRDefault="0029484A" w:rsidP="0029484A">
      <w:pPr>
        <w:spacing w:after="0" w:line="240" w:lineRule="auto"/>
        <w:rPr>
          <w:color w:val="000000"/>
        </w:rPr>
      </w:pPr>
    </w:p>
    <w:p w14:paraId="38A059E6" w14:textId="77777777" w:rsidR="0029484A" w:rsidRPr="004A56EC" w:rsidRDefault="0029484A" w:rsidP="0029484A">
      <w:pPr>
        <w:spacing w:after="0" w:line="240" w:lineRule="auto"/>
        <w:rPr>
          <w:color w:val="000000"/>
        </w:rPr>
      </w:pPr>
      <w:r w:rsidRPr="004A56EC">
        <w:rPr>
          <w:color w:val="000000"/>
          <w:u w:val="single"/>
        </w:rPr>
        <w:t>Sector finances</w:t>
      </w:r>
    </w:p>
    <w:p w14:paraId="7AA592AF" w14:textId="77777777" w:rsidR="0029484A" w:rsidRPr="004A56EC" w:rsidRDefault="0029484A" w:rsidP="0029484A">
      <w:pPr>
        <w:pStyle w:val="ListParagraph"/>
        <w:numPr>
          <w:ilvl w:val="0"/>
          <w:numId w:val="3"/>
        </w:numPr>
        <w:rPr>
          <w:rFonts w:cs="Arial"/>
          <w:color w:val="000000"/>
          <w:szCs w:val="22"/>
        </w:rPr>
      </w:pPr>
      <w:r w:rsidRPr="004A56EC">
        <w:rPr>
          <w:rFonts w:cs="Arial"/>
          <w:b/>
          <w:bCs/>
          <w:color w:val="000000"/>
          <w:szCs w:val="22"/>
        </w:rPr>
        <w:t>47 – </w:t>
      </w:r>
      <w:r w:rsidRPr="004A56EC">
        <w:rPr>
          <w:rFonts w:cs="Arial"/>
          <w:color w:val="000000"/>
          <w:szCs w:val="22"/>
        </w:rPr>
        <w:t>The number of HEIs that reported a deficit in their 2017-18 financial statements. The number in 2018-19 is expected to rise.</w:t>
      </w:r>
    </w:p>
    <w:p w14:paraId="3CF94460" w14:textId="77777777" w:rsidR="0029484A" w:rsidRPr="004A56EC" w:rsidRDefault="0029484A" w:rsidP="0029484A">
      <w:pPr>
        <w:spacing w:after="0" w:line="240" w:lineRule="auto"/>
        <w:rPr>
          <w:rFonts w:eastAsia="Times New Roman"/>
          <w:color w:val="000000"/>
        </w:rPr>
      </w:pPr>
    </w:p>
    <w:p w14:paraId="41C0FA01" w14:textId="7D61B83B" w:rsidR="0029484A" w:rsidRPr="004A56EC" w:rsidRDefault="0029484A" w:rsidP="0029484A">
      <w:pPr>
        <w:pStyle w:val="ListParagraph"/>
        <w:numPr>
          <w:ilvl w:val="0"/>
          <w:numId w:val="3"/>
        </w:numPr>
        <w:rPr>
          <w:rFonts w:cs="Arial"/>
          <w:color w:val="000000"/>
          <w:szCs w:val="22"/>
        </w:rPr>
      </w:pPr>
      <w:r w:rsidRPr="004A56EC">
        <w:rPr>
          <w:rFonts w:cs="Arial"/>
          <w:b/>
          <w:bCs/>
          <w:color w:val="000000"/>
          <w:szCs w:val="22"/>
        </w:rPr>
        <w:t>£20bn </w:t>
      </w:r>
      <w:r w:rsidRPr="004A56EC">
        <w:rPr>
          <w:rFonts w:cs="Arial"/>
          <w:color w:val="000000"/>
          <w:szCs w:val="22"/>
        </w:rPr>
        <w:t>– The total investment in their staff by UK HEIs in 2017-18 (HESA). This is </w:t>
      </w:r>
      <w:r w:rsidRPr="004A56EC">
        <w:rPr>
          <w:rFonts w:cs="Arial"/>
          <w:b/>
          <w:bCs/>
          <w:color w:val="000000"/>
          <w:szCs w:val="22"/>
        </w:rPr>
        <w:t>6 times</w:t>
      </w:r>
      <w:r w:rsidRPr="004A56EC">
        <w:rPr>
          <w:rFonts w:cs="Arial"/>
          <w:color w:val="000000"/>
          <w:szCs w:val="22"/>
        </w:rPr>
        <w:t> the £3.3bn spent on buildings and facilities. UCU claims that HEIs prioritise buildings over their employees.</w:t>
      </w:r>
    </w:p>
    <w:p w14:paraId="2343DE1E" w14:textId="77777777" w:rsidR="0029484A" w:rsidRPr="004A56EC" w:rsidRDefault="0029484A" w:rsidP="0029484A">
      <w:pPr>
        <w:spacing w:after="0" w:line="240" w:lineRule="auto"/>
        <w:rPr>
          <w:rFonts w:eastAsia="Times New Roman"/>
          <w:color w:val="000000"/>
        </w:rPr>
      </w:pPr>
    </w:p>
    <w:p w14:paraId="7DACF1FF" w14:textId="77777777" w:rsidR="0029484A" w:rsidRPr="004A56EC" w:rsidRDefault="0029484A" w:rsidP="0029484A">
      <w:pPr>
        <w:spacing w:after="0" w:line="240" w:lineRule="auto"/>
        <w:rPr>
          <w:color w:val="000000"/>
          <w:u w:val="single"/>
        </w:rPr>
      </w:pPr>
      <w:r w:rsidRPr="004A56EC">
        <w:rPr>
          <w:color w:val="000000"/>
          <w:u w:val="single"/>
        </w:rPr>
        <w:t>Workforce issues</w:t>
      </w:r>
    </w:p>
    <w:p w14:paraId="6ECCC051" w14:textId="1A905A74" w:rsidR="0029484A" w:rsidRPr="004A56EC" w:rsidRDefault="0029484A" w:rsidP="0029484A">
      <w:pPr>
        <w:pStyle w:val="ListParagraph"/>
        <w:numPr>
          <w:ilvl w:val="0"/>
          <w:numId w:val="4"/>
        </w:numPr>
        <w:rPr>
          <w:rFonts w:cs="Arial"/>
          <w:color w:val="000000"/>
          <w:szCs w:val="22"/>
        </w:rPr>
      </w:pPr>
      <w:r w:rsidRPr="004A56EC">
        <w:rPr>
          <w:rFonts w:cs="Arial"/>
          <w:b/>
          <w:bCs/>
          <w:color w:val="000000"/>
          <w:szCs w:val="22"/>
        </w:rPr>
        <w:t>21.9%</w:t>
      </w:r>
      <w:r w:rsidRPr="004A56EC">
        <w:rPr>
          <w:rStyle w:val="apple-converted-space"/>
          <w:rFonts w:cs="Arial"/>
          <w:b/>
          <w:bCs/>
          <w:color w:val="000000"/>
          <w:szCs w:val="22"/>
        </w:rPr>
        <w:t> </w:t>
      </w:r>
      <w:r w:rsidRPr="004A56EC">
        <w:rPr>
          <w:rFonts w:cs="Arial"/>
          <w:color w:val="000000"/>
          <w:szCs w:val="22"/>
        </w:rPr>
        <w:t>- the increase in</w:t>
      </w:r>
      <w:r w:rsidRPr="004A56EC">
        <w:rPr>
          <w:rStyle w:val="apple-converted-space"/>
          <w:rFonts w:cs="Arial"/>
          <w:color w:val="000000"/>
          <w:szCs w:val="22"/>
        </w:rPr>
        <w:t> </w:t>
      </w:r>
      <w:r w:rsidRPr="004A56EC">
        <w:rPr>
          <w:rFonts w:cs="Arial"/>
          <w:color w:val="000000"/>
          <w:szCs w:val="22"/>
        </w:rPr>
        <w:t>permanent appointments in the HE workforce in the last 6 years (HESA 2017-18, UCEA workforce survey) compared to a 8% increase in fixed</w:t>
      </w:r>
      <w:r w:rsidR="00C00162">
        <w:rPr>
          <w:rFonts w:cs="Arial"/>
          <w:color w:val="000000"/>
          <w:szCs w:val="22"/>
        </w:rPr>
        <w:t>-</w:t>
      </w:r>
      <w:r w:rsidRPr="004A56EC">
        <w:rPr>
          <w:rFonts w:cs="Arial"/>
          <w:color w:val="000000"/>
          <w:szCs w:val="22"/>
        </w:rPr>
        <w:t>term contracts and a 16% decrease in casual contracts.</w:t>
      </w:r>
    </w:p>
    <w:p w14:paraId="3FFAC6DB" w14:textId="77777777" w:rsidR="0029484A" w:rsidRPr="004A56EC" w:rsidRDefault="0029484A" w:rsidP="0029484A">
      <w:pPr>
        <w:pStyle w:val="ListParagraph"/>
        <w:rPr>
          <w:rFonts w:cs="Arial"/>
          <w:color w:val="000000"/>
          <w:szCs w:val="22"/>
        </w:rPr>
      </w:pPr>
    </w:p>
    <w:p w14:paraId="12AB9AE6" w14:textId="564A4BFE" w:rsidR="0029484A" w:rsidRPr="004A56EC" w:rsidRDefault="0029484A" w:rsidP="0029484A">
      <w:pPr>
        <w:pStyle w:val="ListParagraph"/>
        <w:numPr>
          <w:ilvl w:val="0"/>
          <w:numId w:val="4"/>
        </w:numPr>
        <w:rPr>
          <w:rFonts w:cs="Arial"/>
          <w:szCs w:val="22"/>
        </w:rPr>
      </w:pPr>
      <w:r w:rsidRPr="004A56EC">
        <w:rPr>
          <w:rFonts w:cs="Arial"/>
          <w:b/>
          <w:bCs/>
          <w:color w:val="000000"/>
          <w:szCs w:val="22"/>
        </w:rPr>
        <w:t>16.1% </w:t>
      </w:r>
      <w:r w:rsidRPr="004A56EC">
        <w:rPr>
          <w:rFonts w:cs="Arial"/>
          <w:color w:val="000000"/>
          <w:szCs w:val="22"/>
        </w:rPr>
        <w:t>- the fall in the number of ‘atypical’</w:t>
      </w:r>
      <w:r w:rsidR="00C00162">
        <w:rPr>
          <w:rFonts w:cs="Arial"/>
          <w:color w:val="000000"/>
          <w:szCs w:val="22"/>
        </w:rPr>
        <w:t xml:space="preserve"> </w:t>
      </w:r>
      <w:r w:rsidRPr="004A56EC">
        <w:rPr>
          <w:rFonts w:cs="Arial"/>
          <w:color w:val="000000"/>
          <w:szCs w:val="22"/>
        </w:rPr>
        <w:t>/</w:t>
      </w:r>
      <w:r w:rsidR="00C00162">
        <w:rPr>
          <w:rFonts w:cs="Arial"/>
          <w:color w:val="000000"/>
          <w:szCs w:val="22"/>
        </w:rPr>
        <w:t xml:space="preserve"> </w:t>
      </w:r>
      <w:r w:rsidRPr="004A56EC">
        <w:rPr>
          <w:rFonts w:cs="Arial"/>
          <w:color w:val="000000"/>
          <w:szCs w:val="22"/>
        </w:rPr>
        <w:t>casual employees since 2011-12.</w:t>
      </w:r>
    </w:p>
    <w:p w14:paraId="5C622D23" w14:textId="77777777" w:rsidR="0029484A" w:rsidRPr="004A56EC" w:rsidRDefault="0029484A" w:rsidP="0029484A">
      <w:pPr>
        <w:pStyle w:val="ListParagraph"/>
        <w:rPr>
          <w:rFonts w:cs="Arial"/>
          <w:szCs w:val="22"/>
        </w:rPr>
      </w:pPr>
    </w:p>
    <w:p w14:paraId="3D6A91C6" w14:textId="7B524099" w:rsidR="0029484A" w:rsidRDefault="0029484A" w:rsidP="0029484A">
      <w:pPr>
        <w:pStyle w:val="ListParagraph"/>
        <w:numPr>
          <w:ilvl w:val="0"/>
          <w:numId w:val="4"/>
        </w:numPr>
        <w:rPr>
          <w:rFonts w:cs="Arial"/>
          <w:color w:val="000000"/>
          <w:szCs w:val="22"/>
        </w:rPr>
      </w:pPr>
      <w:r w:rsidRPr="004A56EC">
        <w:rPr>
          <w:rFonts w:cs="Arial"/>
          <w:b/>
          <w:bCs/>
          <w:color w:val="000000"/>
          <w:szCs w:val="22"/>
        </w:rPr>
        <w:t>2.3% </w:t>
      </w:r>
      <w:r w:rsidRPr="004A56EC">
        <w:rPr>
          <w:rFonts w:cs="Arial"/>
          <w:color w:val="000000"/>
          <w:szCs w:val="22"/>
        </w:rPr>
        <w:t>- the proportion of academic work delivered by people on a flexible ’zero hours’ arrangements, with the large majority of these in performing arts and continuing education (e.g. evening classes)</w:t>
      </w:r>
      <w:r w:rsidR="00C00162">
        <w:rPr>
          <w:rFonts w:cs="Arial"/>
          <w:color w:val="000000"/>
          <w:szCs w:val="22"/>
        </w:rPr>
        <w:t>.</w:t>
      </w:r>
      <w:r w:rsidR="004A56EC">
        <w:rPr>
          <w:rFonts w:cs="Arial"/>
          <w:color w:val="000000"/>
          <w:szCs w:val="22"/>
        </w:rPr>
        <w:t xml:space="preserve"> </w:t>
      </w:r>
    </w:p>
    <w:p w14:paraId="3C672EA6" w14:textId="77777777" w:rsidR="0029484A" w:rsidRPr="004A56EC" w:rsidRDefault="0029484A" w:rsidP="0029484A">
      <w:pPr>
        <w:pStyle w:val="ListParagraph"/>
        <w:rPr>
          <w:rFonts w:cs="Arial"/>
          <w:color w:val="000000"/>
          <w:szCs w:val="22"/>
        </w:rPr>
      </w:pPr>
    </w:p>
    <w:p w14:paraId="5D75685A" w14:textId="77777777" w:rsidR="0029484A" w:rsidRPr="004A56EC" w:rsidRDefault="0029484A" w:rsidP="0029484A">
      <w:pPr>
        <w:pStyle w:val="ListParagraph"/>
        <w:numPr>
          <w:ilvl w:val="0"/>
          <w:numId w:val="4"/>
        </w:numPr>
        <w:rPr>
          <w:rFonts w:cs="Arial"/>
          <w:color w:val="000000"/>
          <w:szCs w:val="22"/>
        </w:rPr>
      </w:pPr>
      <w:r w:rsidRPr="004A56EC">
        <w:rPr>
          <w:rFonts w:cs="Arial"/>
          <w:b/>
          <w:bCs/>
          <w:color w:val="000000"/>
          <w:szCs w:val="22"/>
        </w:rPr>
        <w:t>7 </w:t>
      </w:r>
      <w:r w:rsidRPr="004A56EC">
        <w:rPr>
          <w:rFonts w:cs="Arial"/>
          <w:color w:val="000000"/>
          <w:szCs w:val="22"/>
        </w:rPr>
        <w:t xml:space="preserve">– The percentage point fall in the HE gender pay gap over the last decade (from 22.3% to 15.5% - ONS, median earnings). The 15.5% figure in HE compares to a gender pay gap of 17.3% in the UK as a </w:t>
      </w:r>
      <w:r w:rsidRPr="004A56EC">
        <w:rPr>
          <w:rFonts w:cs="Arial"/>
          <w:szCs w:val="22"/>
        </w:rPr>
        <w:t>whole</w:t>
      </w:r>
      <w:r w:rsidRPr="004A56EC">
        <w:rPr>
          <w:rFonts w:cs="Arial"/>
          <w:color w:val="000000"/>
          <w:szCs w:val="22"/>
        </w:rPr>
        <w:t xml:space="preserve"> (ONS, 2019).</w:t>
      </w:r>
    </w:p>
    <w:p w14:paraId="7C311A8F" w14:textId="77777777" w:rsidR="0029484A" w:rsidRPr="004A56EC" w:rsidRDefault="0029484A" w:rsidP="0029484A">
      <w:pPr>
        <w:pStyle w:val="ListParagraph"/>
        <w:rPr>
          <w:rFonts w:cs="Arial"/>
          <w:color w:val="000000"/>
          <w:szCs w:val="22"/>
        </w:rPr>
      </w:pPr>
    </w:p>
    <w:p w14:paraId="02D4E64D" w14:textId="1D4A1BD4" w:rsidR="0029484A" w:rsidRPr="004A56EC" w:rsidRDefault="0029484A" w:rsidP="0029484A">
      <w:pPr>
        <w:pStyle w:val="ListParagraph"/>
        <w:numPr>
          <w:ilvl w:val="0"/>
          <w:numId w:val="4"/>
        </w:numPr>
        <w:rPr>
          <w:rFonts w:cs="Arial"/>
          <w:color w:val="000000"/>
          <w:szCs w:val="22"/>
        </w:rPr>
      </w:pPr>
      <w:r w:rsidRPr="004A56EC">
        <w:rPr>
          <w:rFonts w:cs="Arial"/>
          <w:b/>
          <w:bCs/>
          <w:color w:val="000000"/>
          <w:szCs w:val="22"/>
        </w:rPr>
        <w:t>7.6% </w:t>
      </w:r>
      <w:r w:rsidRPr="004A56EC">
        <w:rPr>
          <w:rFonts w:cs="Arial"/>
          <w:color w:val="000000"/>
          <w:szCs w:val="22"/>
        </w:rPr>
        <w:t>- the voluntary turnover rate in HE (unchanged for some years), which compares to 12.9% in the wider economy.</w:t>
      </w:r>
    </w:p>
    <w:p w14:paraId="671273E5" w14:textId="77777777" w:rsidR="004A56EC" w:rsidRDefault="004A56EC" w:rsidP="0029484A">
      <w:pPr>
        <w:pStyle w:val="FootnoteText"/>
        <w:rPr>
          <w:sz w:val="16"/>
          <w:szCs w:val="16"/>
        </w:rPr>
      </w:pPr>
    </w:p>
    <w:p w14:paraId="24FD1558" w14:textId="347E29B2" w:rsidR="0029484A" w:rsidRPr="0087195E" w:rsidRDefault="004A56EC" w:rsidP="0029484A">
      <w:pPr>
        <w:pStyle w:val="FootnoteText"/>
        <w:rPr>
          <w:rFonts w:cs="Arial"/>
          <w:sz w:val="16"/>
          <w:szCs w:val="16"/>
        </w:rPr>
      </w:pPr>
      <w:r w:rsidRPr="0087195E">
        <w:rPr>
          <w:rStyle w:val="FootnoteReference"/>
          <w:sz w:val="16"/>
          <w:szCs w:val="16"/>
        </w:rPr>
        <w:t xml:space="preserve"> </w:t>
      </w:r>
      <w:r w:rsidR="0029484A" w:rsidRPr="0087195E">
        <w:rPr>
          <w:rStyle w:val="FootnoteReference"/>
          <w:sz w:val="16"/>
          <w:szCs w:val="16"/>
        </w:rPr>
        <w:t>[1]</w:t>
      </w:r>
      <w:r w:rsidR="0029484A" w:rsidRPr="0087195E">
        <w:rPr>
          <w:sz w:val="16"/>
          <w:szCs w:val="16"/>
        </w:rPr>
        <w:t xml:space="preserve"> </w:t>
      </w:r>
      <w:hyperlink r:id="rId6" w:history="1">
        <w:r w:rsidR="0029484A" w:rsidRPr="0087195E">
          <w:rPr>
            <w:rStyle w:val="Hyperlink"/>
            <w:sz w:val="16"/>
            <w:szCs w:val="16"/>
          </w:rPr>
          <w:t>www.ons.gov.uk/economy/inflationandpriceindices/articles/shortcomingsoftheretailpricesindexasameasureofinflation/2018-03-08</w:t>
        </w:r>
      </w:hyperlink>
    </w:p>
    <w:p w14:paraId="1C289E4C" w14:textId="77777777" w:rsidR="0029484A" w:rsidRDefault="0029484A" w:rsidP="0029484A">
      <w:pPr>
        <w:pStyle w:val="FootnoteText"/>
        <w:rPr>
          <w:sz w:val="16"/>
          <w:szCs w:val="16"/>
        </w:rPr>
      </w:pPr>
      <w:r>
        <w:rPr>
          <w:rStyle w:val="FootnoteReference"/>
          <w:sz w:val="16"/>
          <w:szCs w:val="16"/>
        </w:rPr>
        <w:t>[2]</w:t>
      </w:r>
      <w:r>
        <w:rPr>
          <w:sz w:val="16"/>
          <w:szCs w:val="16"/>
        </w:rPr>
        <w:t xml:space="preserve"> It is only still produced due to complications relating to its use in index-linked financial instruments (about £500 billion of index-linked gilts) and long-term contracts.</w:t>
      </w:r>
    </w:p>
    <w:p w14:paraId="5D4D8E78" w14:textId="310C25B9" w:rsidR="0029484A" w:rsidRDefault="0029484A" w:rsidP="0029484A">
      <w:pPr>
        <w:pStyle w:val="FootnoteText"/>
        <w:rPr>
          <w:sz w:val="16"/>
          <w:szCs w:val="16"/>
        </w:rPr>
      </w:pPr>
      <w:r>
        <w:rPr>
          <w:rStyle w:val="FootnoteReference"/>
          <w:sz w:val="16"/>
          <w:szCs w:val="16"/>
        </w:rPr>
        <w:t>[3]</w:t>
      </w:r>
      <w:r>
        <w:rPr>
          <w:sz w:val="16"/>
          <w:szCs w:val="16"/>
        </w:rPr>
        <w:t xml:space="preserve"> </w:t>
      </w:r>
      <w:hyperlink r:id="rId7" w:history="1">
        <w:r w:rsidR="001D318F" w:rsidRPr="007751A3">
          <w:rPr>
            <w:rStyle w:val="Hyperlink"/>
            <w:sz w:val="16"/>
            <w:szCs w:val="16"/>
          </w:rPr>
          <w:t>www.statisticsauthority.gov.uk/wp-content/uploads/2016/03/Letter-from-John-Pullinger-to-Sir-Andrew-Dilnot-090316.pdf</w:t>
        </w:r>
      </w:hyperlink>
      <w:r>
        <w:rPr>
          <w:sz w:val="16"/>
          <w:szCs w:val="16"/>
        </w:rPr>
        <w:t xml:space="preserve"> </w:t>
      </w:r>
    </w:p>
    <w:p w14:paraId="3F1A4A30" w14:textId="77777777" w:rsidR="0029484A" w:rsidRPr="0029484A" w:rsidRDefault="0029484A" w:rsidP="0029484A">
      <w:pPr>
        <w:ind w:left="360"/>
        <w:rPr>
          <w:color w:val="000000"/>
          <w:sz w:val="21"/>
          <w:szCs w:val="21"/>
        </w:rPr>
      </w:pPr>
    </w:p>
    <w:p w14:paraId="38D5E64B" w14:textId="77777777" w:rsidR="0029484A" w:rsidRPr="0029484A" w:rsidRDefault="0029484A" w:rsidP="00165F3C">
      <w:pPr>
        <w:rPr>
          <w:sz w:val="21"/>
          <w:szCs w:val="21"/>
        </w:rPr>
      </w:pPr>
      <w:r w:rsidRPr="0029484A">
        <w:rPr>
          <w:sz w:val="21"/>
          <w:szCs w:val="21"/>
        </w:rPr>
        <w:t>For further information please contact: Andy Fryer, Head of Communications and Membership (</w:t>
      </w:r>
      <w:hyperlink r:id="rId8" w:history="1">
        <w:r w:rsidRPr="0029484A">
          <w:rPr>
            <w:rStyle w:val="Hyperlink"/>
            <w:rFonts w:cs="Arial"/>
            <w:sz w:val="21"/>
            <w:szCs w:val="21"/>
          </w:rPr>
          <w:t>a.fryer@ucea.ac.uk</w:t>
        </w:r>
      </w:hyperlink>
      <w:r w:rsidRPr="0029484A">
        <w:rPr>
          <w:sz w:val="21"/>
          <w:szCs w:val="21"/>
        </w:rPr>
        <w:t>) or Marc Whittaker, Communications and Events Manager (</w:t>
      </w:r>
      <w:r w:rsidRPr="0029484A">
        <w:rPr>
          <w:rStyle w:val="Hyperlink"/>
          <w:rFonts w:cs="Arial"/>
          <w:sz w:val="21"/>
          <w:szCs w:val="21"/>
        </w:rPr>
        <w:t>m.whittaker@ucea.ac.uk</w:t>
      </w:r>
      <w:r w:rsidRPr="0029484A">
        <w:rPr>
          <w:sz w:val="21"/>
          <w:szCs w:val="21"/>
        </w:rPr>
        <w:t>) on 020 7383 2444.</w:t>
      </w:r>
    </w:p>
    <w:p w14:paraId="5F328AFE" w14:textId="77777777" w:rsidR="00B9237F" w:rsidRDefault="00B9237F"/>
    <w:sectPr w:rsidR="00B9237F" w:rsidSect="0029484A">
      <w:pgSz w:w="11906" w:h="16838"/>
      <w:pgMar w:top="87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5D1"/>
    <w:multiLevelType w:val="hybridMultilevel"/>
    <w:tmpl w:val="9890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5CC9"/>
    <w:multiLevelType w:val="hybridMultilevel"/>
    <w:tmpl w:val="BCA0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723F3"/>
    <w:multiLevelType w:val="hybridMultilevel"/>
    <w:tmpl w:val="CEC0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E7FAC"/>
    <w:multiLevelType w:val="hybridMultilevel"/>
    <w:tmpl w:val="5D40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1616F"/>
    <w:multiLevelType w:val="hybridMultilevel"/>
    <w:tmpl w:val="4340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D3226"/>
    <w:multiLevelType w:val="hybridMultilevel"/>
    <w:tmpl w:val="40B2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26"/>
    <w:rsid w:val="000F25F9"/>
    <w:rsid w:val="00122126"/>
    <w:rsid w:val="00150A60"/>
    <w:rsid w:val="00165F3C"/>
    <w:rsid w:val="001D318F"/>
    <w:rsid w:val="0029484A"/>
    <w:rsid w:val="00310203"/>
    <w:rsid w:val="004A56EC"/>
    <w:rsid w:val="0087195E"/>
    <w:rsid w:val="008F3C48"/>
    <w:rsid w:val="00B9237F"/>
    <w:rsid w:val="00C00162"/>
    <w:rsid w:val="00DC644C"/>
    <w:rsid w:val="00EE5044"/>
    <w:rsid w:val="00F2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9F19"/>
  <w15:chartTrackingRefBased/>
  <w15:docId w15:val="{5D61943D-5331-47B6-8864-07949C63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4A"/>
    <w:pPr>
      <w:spacing w:after="0" w:line="240" w:lineRule="auto"/>
      <w:ind w:left="720"/>
      <w:contextualSpacing/>
    </w:pPr>
    <w:rPr>
      <w:rFonts w:eastAsia="Times New Roman" w:cs="Times New Roman"/>
      <w:szCs w:val="24"/>
      <w:lang w:eastAsia="en-GB"/>
    </w:rPr>
  </w:style>
  <w:style w:type="character" w:customStyle="1" w:styleId="apple-converted-space">
    <w:name w:val="apple-converted-space"/>
    <w:basedOn w:val="DefaultParagraphFont"/>
    <w:rsid w:val="0029484A"/>
  </w:style>
  <w:style w:type="character" w:styleId="Hyperlink">
    <w:name w:val="Hyperlink"/>
    <w:basedOn w:val="DefaultParagraphFont"/>
    <w:uiPriority w:val="99"/>
    <w:rsid w:val="0029484A"/>
    <w:rPr>
      <w:rFonts w:cs="Times New Roman"/>
      <w:color w:val="0000FF"/>
      <w:u w:val="single"/>
    </w:rPr>
  </w:style>
  <w:style w:type="paragraph" w:styleId="BalloonText">
    <w:name w:val="Balloon Text"/>
    <w:basedOn w:val="Normal"/>
    <w:link w:val="BalloonTextChar"/>
    <w:uiPriority w:val="99"/>
    <w:semiHidden/>
    <w:unhideWhenUsed/>
    <w:rsid w:val="00294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4A"/>
    <w:rPr>
      <w:rFonts w:ascii="Segoe UI" w:hAnsi="Segoe UI" w:cs="Segoe UI"/>
      <w:sz w:val="18"/>
      <w:szCs w:val="18"/>
    </w:rPr>
  </w:style>
  <w:style w:type="paragraph" w:styleId="FootnoteText">
    <w:name w:val="footnote text"/>
    <w:basedOn w:val="Normal"/>
    <w:link w:val="FootnoteTextChar"/>
    <w:uiPriority w:val="99"/>
    <w:unhideWhenUsed/>
    <w:rsid w:val="0029484A"/>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rsid w:val="0029484A"/>
    <w:rPr>
      <w:rFonts w:eastAsia="Times New Roman" w:cs="Times New Roman"/>
      <w:sz w:val="20"/>
      <w:szCs w:val="20"/>
      <w:lang w:eastAsia="en-GB"/>
    </w:rPr>
  </w:style>
  <w:style w:type="character" w:styleId="FootnoteReference">
    <w:name w:val="footnote reference"/>
    <w:basedOn w:val="DefaultParagraphFont"/>
    <w:uiPriority w:val="99"/>
    <w:unhideWhenUsed/>
    <w:rsid w:val="0029484A"/>
    <w:rPr>
      <w:vertAlign w:val="superscript"/>
    </w:rPr>
  </w:style>
  <w:style w:type="character" w:styleId="UnresolvedMention">
    <w:name w:val="Unresolved Mention"/>
    <w:basedOn w:val="DefaultParagraphFont"/>
    <w:uiPriority w:val="99"/>
    <w:semiHidden/>
    <w:unhideWhenUsed/>
    <w:rsid w:val="001D3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yer@ucea.ac.uk" TargetMode="External"/><Relationship Id="rId3" Type="http://schemas.openxmlformats.org/officeDocument/2006/relationships/settings" Target="settings.xml"/><Relationship Id="rId7" Type="http://schemas.openxmlformats.org/officeDocument/2006/relationships/hyperlink" Target="http://www.statisticsauthority.gov.uk/wp-content/uploads/2016/03/Letter-from-John-Pullinger-to-Sir-Andrew-Dilnot-0903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s.gov.uk/economy/inflationandpriceindices/articles/shortcomingsoftheretailpricesindexasameasureofinflation/2018-03-0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Whittaker</dc:creator>
  <cp:keywords/>
  <dc:description/>
  <cp:lastModifiedBy>Marc Whittaker</cp:lastModifiedBy>
  <cp:revision>7</cp:revision>
  <cp:lastPrinted>2019-11-21T18:14:00Z</cp:lastPrinted>
  <dcterms:created xsi:type="dcterms:W3CDTF">2019-11-21T14:13:00Z</dcterms:created>
  <dcterms:modified xsi:type="dcterms:W3CDTF">2019-11-21T18:20:00Z</dcterms:modified>
</cp:coreProperties>
</file>